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0"/>
        <w:ind w:left="0" w:right="0" w:firstLine="426"/>
        <w:jc w:val="center"/>
        <w:rPr/>
      </w:pPr>
      <w:r>
        <w:rPr>
          <w:rStyle w:val="Style14"/>
          <w:rFonts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8"/>
        </w:rPr>
        <w:t>Сведения о проектной документации, в отношении которой выдано</w:t>
      </w:r>
    </w:p>
    <w:p>
      <w:pPr>
        <w:pStyle w:val="Style16"/>
        <w:widowControl/>
        <w:spacing w:lineRule="auto" w:line="288" w:before="0" w:after="0"/>
        <w:ind w:left="113" w:right="0" w:hanging="0"/>
        <w:jc w:val="center"/>
        <w:rPr/>
      </w:pPr>
      <w:r>
        <w:rPr>
          <w:rStyle w:val="Style14"/>
          <w:rFonts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8"/>
        </w:rPr>
        <w:t>положительное заключение государственной экспертизы</w:t>
      </w:r>
    </w:p>
    <w:p>
      <w:pPr>
        <w:pStyle w:val="Style16"/>
        <w:widowControl/>
        <w:spacing w:before="0" w:after="0"/>
        <w:ind w:left="0" w:right="0" w:firstLine="426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4570" w:type="dxa"/>
        <w:jc w:val="left"/>
        <w:tblInd w:w="150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150" w:type="dxa"/>
          <w:left w:w="142" w:type="dxa"/>
          <w:bottom w:w="150" w:type="dxa"/>
          <w:right w:w="150" w:type="dxa"/>
        </w:tblCellMar>
      </w:tblPr>
      <w:tblGrid>
        <w:gridCol w:w="855"/>
        <w:gridCol w:w="2524"/>
        <w:gridCol w:w="3026"/>
        <w:gridCol w:w="8165"/>
      </w:tblGrid>
      <w:tr>
        <w:trPr>
          <w:trHeight w:val="6" w:hRule="atLeast"/>
        </w:trPr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 п/п</w:t>
            </w:r>
          </w:p>
        </w:tc>
        <w:tc>
          <w:tcPr>
            <w:tcW w:w="5550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поля формы</w:t>
            </w:r>
          </w:p>
        </w:tc>
        <w:tc>
          <w:tcPr>
            <w:tcW w:w="81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Наименование проектной документации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  <w:t>Техническое перевооружение ГРПШ располо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  <w:t>же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  <w:t>нного по адресу: 296 км, а/м Москва-Минск, Сафоновский район, Смоленская область (замена ГРПШ-10 на УГРШ(К)-50Н).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2.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Наименование объекта капитального строительства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  <w:t>Техническое перевооружение ГРПШ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3.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Наименование застройщика, технического заказчика 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rPr/>
            </w:pP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Общество с ограниченной ответственностью «Магистраль-Отель»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4.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Место нахождения застройщика, технического заказчика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FR1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Смоленска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 xml:space="preserve"> об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сть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 xml:space="preserve"> г. В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зь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</w:rPr>
              <w:t>а, ул. Кашена, д. 9, офис 2.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5.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Наименование проектной организации, подготовившей проектную документацию 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ООО «Дельта», директор Рулинская В.П. Смоленская обл., г. Сафоново, ул. Ленина, д 3.</w:t>
            </w:r>
          </w:p>
          <w:p>
            <w:pPr>
              <w:pStyle w:val="Style16"/>
              <w:spacing w:lineRule="auto" w:line="288" w:before="0" w:after="140"/>
              <w:ind w:left="397" w:right="0" w:hanging="39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 ООО «Промтранспроект», генеральный директор Николаев А.С.                    г. Москва, Спартаковская площадь, д.14, стр. 1.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6.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Субъект Российской Федерации, на территории которого расположен объект капитального строительства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LONormal11"/>
              <w:widowControl w:val="false"/>
              <w:shd w:fill="FFFFFF" w:val="clear"/>
              <w:suppressAutoHyphens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spacing w:val="3"/>
                <w:sz w:val="24"/>
                <w:szCs w:val="24"/>
              </w:rPr>
              <w:t>Смоленская область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7.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Адрес объекта капитального строительства (адресный ориентир)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LONormal11"/>
              <w:widowControl w:val="false"/>
              <w:shd w:fill="FFFFFF" w:val="clear"/>
              <w:suppressAutoHyphens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spacing w:val="3"/>
                <w:sz w:val="26"/>
                <w:szCs w:val="26"/>
              </w:rPr>
              <w:t xml:space="preserve">Смоленская область,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4"/>
                <w:sz w:val="26"/>
                <w:szCs w:val="26"/>
                <w:u w:val="none"/>
                <w:em w:val="none"/>
                <w:lang w:val="ru-RU" w:eastAsia="zh-CN" w:bidi="ar-SA"/>
              </w:rPr>
              <w:t>Сафоновский район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spacing w:val="3"/>
                <w:sz w:val="26"/>
                <w:szCs w:val="26"/>
              </w:rPr>
              <w:t>.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8.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Номер заключения государственной экспертизы проектной документации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rPr/>
            </w:pPr>
            <w:r>
              <w:rPr/>
              <w:t xml:space="preserve"> </w:t>
            </w:r>
          </w:p>
          <w:tbl>
            <w:tblPr>
              <w:tblW w:w="7200" w:type="dxa"/>
              <w:jc w:val="left"/>
              <w:tblInd w:w="351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"/>
              <w:gridCol w:w="570"/>
              <w:gridCol w:w="615"/>
              <w:gridCol w:w="510"/>
              <w:gridCol w:w="510"/>
              <w:gridCol w:w="465"/>
              <w:gridCol w:w="450"/>
              <w:gridCol w:w="390"/>
              <w:gridCol w:w="405"/>
              <w:gridCol w:w="285"/>
              <w:gridCol w:w="390"/>
              <w:gridCol w:w="345"/>
              <w:gridCol w:w="345"/>
              <w:gridCol w:w="390"/>
              <w:gridCol w:w="225"/>
              <w:gridCol w:w="345"/>
              <w:gridCol w:w="450"/>
            </w:tblGrid>
            <w:tr>
              <w:trPr/>
              <w:tc>
                <w:tcPr>
                  <w:tcW w:w="510" w:type="dxa"/>
                  <w:tcBorders/>
                  <w:shd w:fill="auto" w:val="clear"/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left"/>
                    <w:rPr>
                      <w:rFonts w:eastAsia="Times New Roman"/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rFonts w:eastAsia="Times New Roman"/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rFonts w:eastAsia="Times New Roman"/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rFonts w:eastAsia="Times New Roman"/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rFonts w:eastAsia="Times New Roman"/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rFonts w:eastAsia="Times New Roman"/>
                      <w:b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–</w:t>
                  </w:r>
                </w:p>
              </w:tc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ONormal"/>
                    <w:bidi w:val="0"/>
                    <w:snapToGrid w:val="false"/>
                    <w:spacing w:lineRule="auto" w:line="240"/>
                    <w:ind w:left="0" w:right="0" w:hanging="0"/>
                    <w:jc w:val="center"/>
                    <w:rPr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9.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Дата заключения государственной экспертизы проектной документации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«  16  » января 2018 г.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10.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Применение экономически эффективной проектной документации повторного использования 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>
                <w:rFonts w:eastAsia="Liberation Serif" w:cs="Liberation Serif" w:ascii="Liberation Serif" w:hAnsi="Liberation Serif"/>
              </w:rPr>
              <w:t xml:space="preserve"> ″―″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11.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Достоверность определения сметной стоимости подтверждена 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>
                <w:rFonts w:eastAsia="Liberation Serif" w:cs="Liberation Serif" w:ascii="Liberation Serif" w:hAnsi="Liberation Serif"/>
              </w:rPr>
              <w:t xml:space="preserve"> ″―″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12.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Сметная стоимость строительства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 xml:space="preserve"> </w:t>
            </w:r>
            <w:r>
              <w:rPr>
                <w:rFonts w:eastAsia="Liberation Serif" w:cs="Liberation Serif" w:ascii="Liberation Serif" w:hAnsi="Liberation Serif"/>
              </w:rPr>
              <w:t>″―″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13.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Сведения о непревышении стоимости строительства объекта капитального строительства показателей укрупненных нормативов цены строительства 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 xml:space="preserve">  </w:t>
            </w:r>
            <w:bookmarkStart w:id="0" w:name="__DdeLink__6933_1720688584"/>
            <w:bookmarkEnd w:id="0"/>
            <w:r>
              <w:rPr>
                <w:rFonts w:eastAsia="Liberation Serif" w:cs="Liberation Serif" w:ascii="Liberation Serif" w:hAnsi="Liberation Serif"/>
              </w:rPr>
              <w:t>″―″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14.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Назначение объекта капитального строительства 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  <w:t>Техническое перевооружение ГРПШ располо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  <w:t>же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4"/>
                <w:sz w:val="24"/>
                <w:szCs w:val="24"/>
                <w:u w:val="none"/>
                <w:em w:val="none"/>
                <w:lang w:val="ru-RU" w:eastAsia="zh-CN" w:bidi="ar-SA"/>
              </w:rPr>
              <w:t>нного по адресу: 296 км, а/м Москва-Минск, Сафоновский район, Смоленская область (замена ГРПШ-10 на УГРШ(К)-50Н).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restart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15.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Технико-экономические характеристики объекта капитального строительства &lt;11&gt;, в том числе: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 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15.1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Мощность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 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15.2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Категория, класс 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15.3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Общая площадь, м2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15.4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Площадь полезная , м2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15.5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Площадь жилая, м2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15.6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Площадь застройки, м2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15.7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Объем строительный, м3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15.8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Количество этажей, (в единицах)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15.9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Протяженность, м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15.10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Класс энергоэффективности объекта капитального строительства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 xml:space="preserve"> </w:t>
            </w:r>
            <w:r>
              <w:rPr>
                <w:rFonts w:eastAsia="Liberation Serif" w:cs="Liberation Serif" w:ascii="Liberation Serif" w:hAnsi="Liberation Serif"/>
              </w:rPr>
              <w:t>″―″</w:t>
            </w:r>
          </w:p>
        </w:tc>
      </w:tr>
      <w:tr>
        <w:trPr>
          <w:trHeight w:val="6" w:hRule="atLeast"/>
        </w:trPr>
        <w:tc>
          <w:tcPr>
            <w:tcW w:w="855" w:type="dxa"/>
            <w:vMerge w:val="continue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15.11</w:t>
            </w:r>
          </w:p>
        </w:tc>
        <w:tc>
          <w:tcPr>
            <w:tcW w:w="302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Иные технико-экономические характеристики объекта капитального строительства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rPr/>
            </w:pPr>
            <w:r>
              <w:rPr/>
            </w:r>
          </w:p>
          <w:tbl>
            <w:tblPr>
              <w:tblW w:w="7770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5385"/>
              <w:gridCol w:w="1020"/>
              <w:gridCol w:w="1365"/>
            </w:tblGrid>
            <w:tr>
              <w:trPr>
                <w:trHeight w:val="510" w:hRule="atLeast"/>
              </w:trPr>
              <w:tc>
                <w:tcPr>
                  <w:tcW w:w="5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1"/>
                    <w:snapToGrid w:val="false"/>
                    <w:spacing w:lineRule="atLeast" w:line="100"/>
                    <w:ind w:left="0" w:right="0" w:hanging="0"/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Наименование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1"/>
                    <w:tabs>
                      <w:tab w:val="left" w:pos="1756" w:leader="none"/>
                    </w:tabs>
                    <w:snapToGrid w:val="false"/>
                    <w:spacing w:lineRule="atLeast" w:line="100"/>
                    <w:ind w:left="176" w:right="0" w:hanging="0"/>
                    <w:jc w:val="center"/>
                    <w:rPr/>
                  </w:pPr>
                  <w:r>
                    <w:rPr>
                      <w:color w:val="000000"/>
                      <w:szCs w:val="22"/>
                    </w:rPr>
                    <w:t>Ед.</w:t>
                  </w:r>
                  <w:r>
                    <w:rPr>
                      <w:rFonts w:eastAsia="Times New Roman"/>
                      <w:color w:val="000000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Cs w:val="22"/>
                    </w:rPr>
                    <w:t>изм.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1"/>
                    <w:tabs>
                      <w:tab w:val="left" w:pos="1756" w:leader="none"/>
                    </w:tabs>
                    <w:snapToGrid w:val="false"/>
                    <w:spacing w:lineRule="atLeast" w:line="100"/>
                    <w:ind w:left="176" w:right="0" w:hanging="142"/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Показатели</w:t>
                  </w:r>
                </w:p>
              </w:tc>
            </w:tr>
            <w:tr>
              <w:trPr>
                <w:trHeight w:val="1039" w:hRule="atLeast"/>
              </w:trPr>
              <w:tc>
                <w:tcPr>
                  <w:tcW w:w="5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ind w:left="-2" w:right="-2" w:hanging="7"/>
                    <w:jc w:val="both"/>
                    <w:rPr>
                      <w:rFonts w:eastAsia="Times New Roman" w:cs="Times New Roman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/>
                      <w:sz w:val="22"/>
                      <w:szCs w:val="22"/>
                      <w:lang w:val="ru-RU" w:eastAsia="zh-CN" w:bidi="hi-IN"/>
                    </w:rPr>
                  </w:pPr>
                  <w:r>
                    <w:rPr>
                      <w:rFonts w:eastAsia="Times New Roman" w:cs="Times New Roman"/>
                      <w:b w:val="false"/>
                      <w:bCs w:val="false"/>
                      <w:i w:val="false"/>
                      <w:iCs w:val="false"/>
                      <w:color w:val="000000"/>
                      <w:sz w:val="22"/>
                      <w:szCs w:val="22"/>
                      <w:lang w:val="ru-RU" w:eastAsia="zh-CN" w:bidi="hi-IN"/>
                    </w:rPr>
                    <w:t>Протяженность газопровода высокого давления</w:t>
                  </w:r>
                </w:p>
                <w:p>
                  <w:pPr>
                    <w:pStyle w:val="Normal"/>
                    <w:snapToGrid w:val="false"/>
                    <w:ind w:left="-2" w:right="-2" w:hanging="7"/>
                    <w:jc w:val="both"/>
                    <w:rPr>
                      <w:rFonts w:eastAsia="Times New Roman" w:cs="Times New Roman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/>
                      <w:sz w:val="22"/>
                      <w:szCs w:val="22"/>
                      <w:lang w:val="ru-RU" w:eastAsia="zh-CN" w:bidi="hi-IN"/>
                    </w:rPr>
                  </w:pPr>
                  <w:r>
                    <w:rPr>
                      <w:rFonts w:eastAsia="Times New Roman" w:cs="Times New Roman"/>
                      <w:b w:val="false"/>
                      <w:bCs w:val="false"/>
                      <w:i w:val="false"/>
                      <w:iCs w:val="false"/>
                      <w:color w:val="000000"/>
                      <w:sz w:val="22"/>
                      <w:szCs w:val="22"/>
                      <w:lang w:val="ru-RU" w:eastAsia="zh-CN" w:bidi="hi-IN"/>
                    </w:rPr>
                    <w:t>Протяженность газопровода низкого давления</w:t>
                  </w:r>
                </w:p>
                <w:p>
                  <w:pPr>
                    <w:pStyle w:val="Normal"/>
                    <w:snapToGrid w:val="false"/>
                    <w:ind w:left="-2" w:right="-2" w:hanging="7"/>
                    <w:jc w:val="both"/>
                    <w:rPr>
                      <w:rFonts w:eastAsia="Times New Roman" w:cs="Times New Roman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/>
                      <w:sz w:val="22"/>
                      <w:szCs w:val="22"/>
                      <w:lang w:val="ru-RU" w:eastAsia="zh-CN" w:bidi="hi-IN"/>
                    </w:rPr>
                  </w:pPr>
                  <w:r>
                    <w:rPr>
                      <w:rFonts w:eastAsia="Times New Roman" w:cs="Times New Roman"/>
                      <w:b w:val="false"/>
                      <w:bCs w:val="false"/>
                      <w:i w:val="false"/>
                      <w:iCs w:val="false"/>
                      <w:color w:val="000000"/>
                      <w:sz w:val="22"/>
                      <w:szCs w:val="22"/>
                      <w:lang w:val="ru-RU" w:eastAsia="zh-CN" w:bidi="hi-IN"/>
                    </w:rPr>
                    <w:t xml:space="preserve">Газорегуляторная установка УГРШ(К)-50Н </w:t>
                  </w:r>
                </w:p>
                <w:p>
                  <w:pPr>
                    <w:pStyle w:val="Normal"/>
                    <w:ind w:left="-2" w:right="-2" w:hanging="7"/>
                    <w:jc w:val="both"/>
                    <w:rPr>
                      <w:b w:val="false"/>
                      <w:b w:val="false"/>
                      <w:bCs/>
                      <w:i w:val="false"/>
                      <w:i w:val="false"/>
                      <w:iCs w:val="false"/>
                      <w:color w:val="000000"/>
                      <w:position w:val="0"/>
                      <w:sz w:val="22"/>
                      <w:sz w:val="22"/>
                      <w:szCs w:val="22"/>
                      <w:vertAlign w:val="baseline"/>
                      <w:lang w:val="ru-RU" w:eastAsia="zh-CN" w:bidi="hi-IN"/>
                    </w:rPr>
                  </w:pPr>
                  <w:r>
                    <w:rPr>
                      <w:b w:val="false"/>
                      <w:bCs/>
                      <w:i w:val="false"/>
                      <w:iCs w:val="false"/>
                      <w:color w:val="000000"/>
                      <w:position w:val="0"/>
                      <w:sz w:val="22"/>
                      <w:sz w:val="22"/>
                      <w:szCs w:val="22"/>
                      <w:vertAlign w:val="baseline"/>
                      <w:lang w:val="ru-RU" w:eastAsia="zh-CN" w:bidi="hi-IN"/>
                    </w:rPr>
                    <w:t>Продолжительность строительства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1"/>
                    <w:snapToGrid w:val="false"/>
                    <w:spacing w:lineRule="auto" w:line="240"/>
                    <w:ind w:left="-108" w:right="-108" w:hang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</w:p>
                <w:p>
                  <w:pPr>
                    <w:pStyle w:val="1"/>
                    <w:snapToGrid w:val="false"/>
                    <w:spacing w:lineRule="auto" w:line="240"/>
                    <w:ind w:left="-108" w:right="-108" w:hang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</w:p>
                <w:p>
                  <w:pPr>
                    <w:pStyle w:val="1"/>
                    <w:snapToGrid w:val="false"/>
                    <w:spacing w:lineRule="auto" w:line="240"/>
                    <w:ind w:left="-108" w:right="-108" w:hang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шт.</w:t>
                  </w:r>
                </w:p>
                <w:p>
                  <w:pPr>
                    <w:pStyle w:val="1"/>
                    <w:snapToGrid w:val="false"/>
                    <w:spacing w:lineRule="auto" w:line="240"/>
                    <w:ind w:left="-108" w:right="-108" w:hanging="0"/>
                    <w:jc w:val="center"/>
                    <w:rPr>
                      <w:rFonts w:eastAsia="WenQuanYi Zen Hei Sharp" w:cs="Lohit Devanagari"/>
                      <w:b w:val="false"/>
                      <w:b w:val="false"/>
                      <w:bCs/>
                      <w:i w:val="false"/>
                      <w:i w:val="false"/>
                      <w:iCs w:val="false"/>
                      <w:color w:val="000000"/>
                      <w:position w:val="0"/>
                      <w:sz w:val="22"/>
                      <w:sz w:val="22"/>
                      <w:szCs w:val="22"/>
                      <w:vertAlign w:val="baseline"/>
                      <w:lang w:val="ru-RU" w:eastAsia="zh-CN" w:bidi="hi-IN"/>
                    </w:rPr>
                  </w:pPr>
                  <w:r>
                    <w:rPr>
                      <w:rFonts w:eastAsia="WenQuanYi Zen Hei Sharp" w:cs="Lohit Devanagari"/>
                      <w:b w:val="false"/>
                      <w:bCs/>
                      <w:i w:val="false"/>
                      <w:iCs w:val="false"/>
                      <w:color w:val="000000"/>
                      <w:position w:val="0"/>
                      <w:sz w:val="22"/>
                      <w:sz w:val="22"/>
                      <w:szCs w:val="22"/>
                      <w:vertAlign w:val="baseline"/>
                      <w:lang w:val="ru-RU" w:eastAsia="zh-CN" w:bidi="hi-IN"/>
                    </w:rPr>
                    <w:t>мес.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1"/>
                    <w:tabs>
                      <w:tab w:val="left" w:pos="1756" w:leader="none"/>
                    </w:tabs>
                    <w:snapToGrid w:val="false"/>
                    <w:spacing w:lineRule="auto" w:line="240"/>
                    <w:ind w:left="176" w:right="-108" w:hanging="28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4,8</w:t>
                  </w:r>
                </w:p>
                <w:p>
                  <w:pPr>
                    <w:pStyle w:val="1"/>
                    <w:tabs>
                      <w:tab w:val="left" w:pos="1756" w:leader="none"/>
                    </w:tabs>
                    <w:snapToGrid w:val="false"/>
                    <w:spacing w:lineRule="auto" w:line="240"/>
                    <w:ind w:left="176" w:right="-108" w:hanging="28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70,2</w:t>
                  </w:r>
                </w:p>
                <w:p>
                  <w:pPr>
                    <w:pStyle w:val="1"/>
                    <w:tabs>
                      <w:tab w:val="left" w:pos="1756" w:leader="none"/>
                    </w:tabs>
                    <w:snapToGrid w:val="false"/>
                    <w:spacing w:lineRule="auto" w:line="240"/>
                    <w:ind w:left="176" w:right="-108" w:hanging="28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  <w:p>
                  <w:pPr>
                    <w:pStyle w:val="1"/>
                    <w:tabs>
                      <w:tab w:val="left" w:pos="1756" w:leader="none"/>
                    </w:tabs>
                    <w:snapToGrid w:val="false"/>
                    <w:spacing w:lineRule="auto" w:line="240"/>
                    <w:ind w:left="176" w:right="-108" w:hanging="28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0,8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16.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Код климатического района, подрайона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17.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Код снегового района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18.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Код ветрового района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19.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Код сейсмичности района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 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20.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>Категория сложности инженерно-геологических условий  (I, II, III)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 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21.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Наличие опасных геологических и инженерно-геологических процессов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 </w:t>
            </w:r>
          </w:p>
        </w:tc>
      </w:tr>
      <w:tr>
        <w:trPr>
          <w:trHeight w:val="6" w:hRule="atLeast"/>
        </w:trPr>
        <w:tc>
          <w:tcPr>
            <w:tcW w:w="855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142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>22.</w:t>
            </w:r>
          </w:p>
        </w:tc>
        <w:tc>
          <w:tcPr>
            <w:tcW w:w="5550" w:type="dxa"/>
            <w:gridSpan w:val="2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lineRule="auto" w:line="288" w:before="0" w:after="140"/>
              <w:rPr/>
            </w:pPr>
            <w:r>
              <w:rPr/>
              <w:t xml:space="preserve">Иная информация </w:t>
            </w:r>
          </w:p>
        </w:tc>
        <w:tc>
          <w:tcPr>
            <w:tcW w:w="81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149" w:type="dxa"/>
            </w:tcMar>
            <w:vAlign w:val="center"/>
          </w:tcPr>
          <w:p>
            <w:pPr>
              <w:pStyle w:val="Style16"/>
              <w:spacing w:before="0" w:after="140"/>
              <w:jc w:val="center"/>
              <w:rPr/>
            </w:pPr>
            <w:r>
              <w:rPr/>
              <w:t xml:space="preserve">  </w:t>
            </w:r>
            <w:r>
              <w:rPr>
                <w:rFonts w:eastAsia="Liberation Serif" w:cs="Liberation Serif" w:ascii="Liberation Serif" w:hAnsi="Liberation Serif"/>
              </w:rPr>
              <w:t>″―″</w:t>
            </w:r>
          </w:p>
        </w:tc>
      </w:tr>
    </w:tbl>
    <w:p>
      <w:pPr>
        <w:pStyle w:val="Style16"/>
        <w:widowControl/>
        <w:spacing w:before="0" w:after="0"/>
        <w:ind w:left="0" w:right="0" w:firstLine="426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altName w:val="sans-serif"/>
    <w:charset w:val="01"/>
    <w:family w:val="auto"/>
    <w:pitch w:val="default"/>
  </w:font>
  <w:font w:name="Times New Roman">
    <w:charset w:val="01"/>
    <w:family w:val="auto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LONormal11">
    <w:name w:val="LO-Normal11"/>
    <w:qFormat/>
    <w:pPr>
      <w:widowControl w:val="false"/>
      <w:suppressAutoHyphens w:val="true"/>
      <w:spacing w:lineRule="auto" w:line="300"/>
      <w:ind w:left="0" w:right="0" w:firstLine="340"/>
    </w:pPr>
    <w:rPr>
      <w:rFonts w:ascii="Times New Roman" w:hAnsi="Times New Roman" w:eastAsia="Arial" w:cs="Times New Roman"/>
      <w:color w:val="auto"/>
      <w:sz w:val="22"/>
      <w:szCs w:val="20"/>
      <w:lang w:val="ru-RU" w:eastAsia="zh-CN" w:bidi="ar-SA"/>
    </w:rPr>
  </w:style>
  <w:style w:type="paragraph" w:styleId="FR1">
    <w:name w:val="FR1"/>
    <w:qFormat/>
    <w:pPr>
      <w:widowControl w:val="false"/>
      <w:suppressAutoHyphens w:val="true"/>
      <w:spacing w:lineRule="auto" w:line="480" w:before="100" w:after="0"/>
      <w:ind w:left="80" w:right="0" w:hanging="0"/>
    </w:pPr>
    <w:rPr>
      <w:rFonts w:ascii="Arial" w:hAnsi="Arial" w:eastAsia="Arial" w:cs="Arial"/>
      <w:color w:val="auto"/>
      <w:sz w:val="22"/>
      <w:szCs w:val="20"/>
      <w:lang w:val="ru-RU" w:eastAsia="zh-CN" w:bidi="ar-SA"/>
    </w:rPr>
  </w:style>
  <w:style w:type="paragraph" w:styleId="LONormal">
    <w:name w:val="LO-Normal"/>
    <w:qFormat/>
    <w:pPr>
      <w:widowControl w:val="false"/>
      <w:suppressAutoHyphens w:val="true"/>
      <w:snapToGrid w:val="false"/>
      <w:spacing w:lineRule="auto" w:line="300"/>
      <w:ind w:left="0" w:right="0" w:firstLine="340"/>
    </w:pPr>
    <w:rPr>
      <w:rFonts w:ascii="Times New Roman" w:hAnsi="Times New Roman" w:eastAsia="Arial" w:cs="Times New Roman"/>
      <w:color w:val="auto"/>
      <w:sz w:val="22"/>
      <w:szCs w:val="20"/>
      <w:lang w:val="ru-RU" w:eastAsia="zh-CN" w:bidi="ar-SA"/>
    </w:rPr>
  </w:style>
  <w:style w:type="paragraph" w:styleId="Style22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1">
    <w:name w:val="Обычный1"/>
    <w:qFormat/>
    <w:pPr>
      <w:widowControl w:val="false"/>
      <w:suppressAutoHyphens w:val="true"/>
      <w:spacing w:lineRule="auto" w:line="300"/>
      <w:ind w:left="0" w:right="0" w:firstLine="340"/>
    </w:pPr>
    <w:rPr>
      <w:rFonts w:ascii="Times New Roman" w:hAnsi="Times New Roman" w:eastAsia="Times New Roman" w:cs="Times New Roman"/>
      <w:color w:val="auto"/>
      <w:sz w:val="22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LibreOffice/5.2.6.2$Linux_X86_64 LibreOffice_project/20$Build-2</Application>
  <Pages>5</Pages>
  <Words>344</Words>
  <Characters>2518</Characters>
  <CharactersWithSpaces>2827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2018-01-25T10:18:21Z</dcterms:created>
  <dc:creator/>
  <dc:description/>
  <dc:language>ru-RU</dc:language>
  <cp:lastModifiedBy/>
  <dcterms:modified xsi:type="dcterms:W3CDTF">2018-01-25T14:35:51Z</dcterms:modified>
  <cp:revision>6</cp:revision>
  <dc:subject/>
  <dc:title/>
</cp:coreProperties>
</file>